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1B" w:rsidRPr="000455EB" w:rsidRDefault="00392571" w:rsidP="000455EB">
      <w:pPr>
        <w:spacing w:after="254"/>
        <w:ind w:left="0" w:firstLine="0"/>
        <w:jc w:val="right"/>
        <w:rPr>
          <w:b/>
        </w:rPr>
      </w:pPr>
      <w:bookmarkStart w:id="0" w:name="_GoBack"/>
      <w:bookmarkEnd w:id="0"/>
      <w:r>
        <w:rPr>
          <w:b/>
        </w:rPr>
        <w:t>November</w:t>
      </w:r>
      <w:r w:rsidR="000455EB" w:rsidRPr="000455EB">
        <w:rPr>
          <w:b/>
        </w:rPr>
        <w:t xml:space="preserve"> 2020</w:t>
      </w:r>
    </w:p>
    <w:p w:rsidR="00FF0CCF" w:rsidRDefault="00FF0CCF">
      <w:pPr>
        <w:spacing w:after="254"/>
        <w:ind w:left="0" w:firstLine="0"/>
        <w:jc w:val="right"/>
      </w:pPr>
    </w:p>
    <w:p w:rsidR="00612A1B" w:rsidRDefault="00FF0CCF">
      <w:pPr>
        <w:spacing w:after="64"/>
        <w:ind w:left="0" w:firstLine="0"/>
      </w:pPr>
      <w:r>
        <w:rPr>
          <w:b/>
          <w:sz w:val="32"/>
        </w:rPr>
        <w:t xml:space="preserve">Mulighed for godtgørelse/honorar til menighedsrådsmedlemmer </w:t>
      </w:r>
    </w:p>
    <w:p w:rsidR="00612A1B" w:rsidRDefault="00FF0CCF">
      <w:pPr>
        <w:ind w:left="-5"/>
      </w:pPr>
      <w:r>
        <w:t xml:space="preserve">Menighedsrådene i Herning Nordre Provsti og Herning Søndre Provsti har mulighed for at vælge mellem to modeller i forhold til godtgørelser/honorarer til menighedsrådsmedlemmer. Evt. udgifter til godtgørelser/honorarer skal holdes inden for allerede tildelt driftsramme. </w:t>
      </w:r>
    </w:p>
    <w:p w:rsidR="00612A1B" w:rsidRDefault="00FF0CCF">
      <w:pPr>
        <w:spacing w:after="220"/>
        <w:ind w:left="0" w:firstLine="0"/>
      </w:pPr>
      <w:r>
        <w:t xml:space="preserve"> </w:t>
      </w:r>
    </w:p>
    <w:p w:rsidR="00612A1B" w:rsidRDefault="00FF0CCF">
      <w:pPr>
        <w:pStyle w:val="Overskrift1"/>
        <w:ind w:left="-5"/>
      </w:pPr>
      <w:r>
        <w:t xml:space="preserve">MODEL 1 – skattefri godtgørelser </w:t>
      </w:r>
    </w:p>
    <w:p w:rsidR="00612A1B" w:rsidRDefault="00FF0CCF">
      <w:pPr>
        <w:ind w:left="-5"/>
      </w:pPr>
      <w:r>
        <w:t xml:space="preserve">Menighedsrådene kan give en årlig skattefri godtgørelse til </w:t>
      </w:r>
      <w:r>
        <w:rPr>
          <w:b/>
        </w:rPr>
        <w:t>formand, kirkeværge, kontaktperson</w:t>
      </w:r>
      <w:r>
        <w:t xml:space="preserve"> </w:t>
      </w:r>
      <w:r>
        <w:rPr>
          <w:b/>
        </w:rPr>
        <w:t xml:space="preserve">og kasserer (uden regnskabsførerfunktion) </w:t>
      </w:r>
      <w:r>
        <w:t xml:space="preserve">uden forudgående redegørelse over for provstiudvalget.  </w:t>
      </w:r>
    </w:p>
    <w:p w:rsidR="00612A1B" w:rsidRDefault="00FF0CCF">
      <w:pPr>
        <w:ind w:left="-5"/>
      </w:pPr>
      <w:r>
        <w:t xml:space="preserve">Den skattefri godtgørelse er </w:t>
      </w:r>
      <w:r>
        <w:rPr>
          <w:b/>
        </w:rPr>
        <w:t>op til</w:t>
      </w:r>
      <w:r w:rsidR="000455EB">
        <w:t xml:space="preserve"> kr. 3.8</w:t>
      </w:r>
      <w:r>
        <w:t xml:space="preserve">50 pr. person – uanset om personen har flere hverv. Godtgørelsen består af </w:t>
      </w:r>
      <w:r>
        <w:rPr>
          <w:b/>
        </w:rPr>
        <w:t>op til</w:t>
      </w:r>
      <w:r w:rsidR="000455EB">
        <w:t xml:space="preserve"> kr. 2.400</w:t>
      </w:r>
      <w:r>
        <w:t xml:space="preserve"> til udgifter ifm. telefon og internet og </w:t>
      </w:r>
      <w:r>
        <w:rPr>
          <w:b/>
        </w:rPr>
        <w:t>op til</w:t>
      </w:r>
      <w:r>
        <w:t xml:space="preserve"> kr. 1.4</w:t>
      </w:r>
      <w:r w:rsidR="000455EB">
        <w:t>5</w:t>
      </w:r>
      <w:r>
        <w:t xml:space="preserve">0 til udgifter ifm. administrative omkostninger (fx kontorartikler, porto og møder). </w:t>
      </w:r>
    </w:p>
    <w:p w:rsidR="00612A1B" w:rsidRDefault="00FF0CCF">
      <w:pPr>
        <w:ind w:left="-5"/>
      </w:pPr>
      <w:r>
        <w:t>Hvis en person modtager skattefri godtgørelse, er det en betingelse, at vedkommende ikke i samme år modtager skattepligtigt honorar, skattepligtig diæt ifm. syn</w:t>
      </w:r>
      <w:r>
        <w:rPr>
          <w:i/>
        </w:rPr>
        <w:t xml:space="preserve"> </w:t>
      </w:r>
      <w:r>
        <w:t xml:space="preserve">eller udlæg efter regning ifm. udgifter vedrørende kontorhold, telefon og internet. </w:t>
      </w:r>
    </w:p>
    <w:p w:rsidR="00612A1B" w:rsidRDefault="00FF0CCF">
      <w:pPr>
        <w:ind w:left="-5"/>
      </w:pPr>
      <w:r>
        <w:t xml:space="preserve">Menighedsrådet skal til enhver tid over for provstiudvalget og provstirevisor kunne sandsynliggøre, at modtageren rent faktisk har udgifter forbundet med arbejdet i menighedsrådet.  </w:t>
      </w:r>
    </w:p>
    <w:p w:rsidR="00612A1B" w:rsidRDefault="00FF0CCF">
      <w:pPr>
        <w:ind w:left="-5"/>
      </w:pPr>
      <w:r>
        <w:rPr>
          <w:u w:val="single" w:color="000000"/>
        </w:rPr>
        <w:t>Hvis menighedsrådet ønsker at give den skattefri godtgørelse til andre i/uden for menighedsrådet, skal</w:t>
      </w:r>
      <w:r>
        <w:t xml:space="preserve"> </w:t>
      </w:r>
      <w:r>
        <w:rPr>
          <w:u w:val="single" w:color="000000"/>
        </w:rPr>
        <w:t xml:space="preserve">menighedsrådet </w:t>
      </w:r>
      <w:r>
        <w:rPr>
          <w:b/>
          <w:u w:val="single" w:color="000000"/>
        </w:rPr>
        <w:t>på forhånd</w:t>
      </w:r>
      <w:r>
        <w:rPr>
          <w:u w:val="single" w:color="000000"/>
        </w:rPr>
        <w:t xml:space="preserve"> redegøre over for provstiudvalget for dette.</w:t>
      </w:r>
      <w:r>
        <w:t xml:space="preserve"> Der skal være en arbejdsmæssig begrundelse for tildelingen. Hvis der herefter ikke sker ændringer ift. menighedsrådets udbetaling af godtgørelser, gælder menighedsrådets redegørelse over for provstiudvalget for resten af valgperioden. </w:t>
      </w:r>
    </w:p>
    <w:p w:rsidR="00612A1B" w:rsidRDefault="00FF0CCF">
      <w:pPr>
        <w:spacing w:after="220"/>
        <w:ind w:left="0" w:firstLine="0"/>
      </w:pPr>
      <w:r>
        <w:t xml:space="preserve"> </w:t>
      </w:r>
    </w:p>
    <w:p w:rsidR="00612A1B" w:rsidRDefault="00FF0CCF">
      <w:pPr>
        <w:pStyle w:val="Overskrift1"/>
        <w:ind w:left="-5"/>
      </w:pPr>
      <w:r>
        <w:t xml:space="preserve">MODEL 2 – skattepligtige honorarer </w:t>
      </w:r>
    </w:p>
    <w:p w:rsidR="00612A1B" w:rsidRDefault="00FF0CCF">
      <w:pPr>
        <w:ind w:left="-5"/>
      </w:pPr>
      <w:r>
        <w:t xml:space="preserve">Til </w:t>
      </w:r>
      <w:r>
        <w:rPr>
          <w:b/>
        </w:rPr>
        <w:t>formand, kirkeværge, kontaktperson</w:t>
      </w:r>
      <w:r>
        <w:t xml:space="preserve"> </w:t>
      </w:r>
      <w:r>
        <w:rPr>
          <w:b/>
        </w:rPr>
        <w:t xml:space="preserve">og kasserer (uden regnskabsførerfunktion) </w:t>
      </w:r>
      <w:r>
        <w:t xml:space="preserve">kan der årligt ydes skattepligtige honorarer, der for de fire hverv samlet svarer til 50 % af et honorar til regnskabsfører – se nedenstående model for beregning af honorar til regnskabsfører. Honorarernes størrelse kan fx fastsættes på baggrund af en konkret vurdering af arbejds- og udgiftsbyrde. Det er ikke muligt både at modtage skattepligtigt honorar og skattefri godtgørelse. </w:t>
      </w:r>
    </w:p>
    <w:p w:rsidR="00612A1B" w:rsidRDefault="00FF0CCF">
      <w:pPr>
        <w:ind w:left="-5"/>
      </w:pPr>
      <w:r>
        <w:t xml:space="preserve">Det er ikke lovligt at give honorarer til andre hverv fx udvalgsformand eller sekretær. </w:t>
      </w:r>
    </w:p>
    <w:p w:rsidR="00612A1B" w:rsidRDefault="00FF0CCF">
      <w:pPr>
        <w:spacing w:after="158"/>
        <w:ind w:left="0" w:firstLine="0"/>
      </w:pPr>
      <w:r>
        <w:rPr>
          <w:u w:val="single" w:color="000000"/>
        </w:rPr>
        <w:t>Honorarer efter model 2 skal godkendes af provstiudvalget.</w:t>
      </w:r>
      <w:r>
        <w:t xml:space="preserve">  </w:t>
      </w:r>
    </w:p>
    <w:p w:rsidR="00612A1B" w:rsidRDefault="00FF0CCF">
      <w:pPr>
        <w:ind w:left="-5"/>
      </w:pPr>
      <w:r>
        <w:t xml:space="preserve">Hvis der ikke sker ændringer, gælder provstiudvalgets godkendelse for resten af valgperioden. </w:t>
      </w:r>
    </w:p>
    <w:p w:rsidR="00612A1B" w:rsidRDefault="00FF0CCF">
      <w:pPr>
        <w:spacing w:after="172"/>
        <w:ind w:left="0" w:firstLine="0"/>
      </w:pPr>
      <w:r>
        <w:t xml:space="preserve"> </w:t>
      </w:r>
    </w:p>
    <w:p w:rsidR="00612A1B" w:rsidRDefault="00FF0CCF" w:rsidP="0060371A">
      <w:pPr>
        <w:spacing w:after="1317"/>
        <w:ind w:left="0" w:firstLine="0"/>
      </w:pPr>
      <w:r>
        <w:t xml:space="preserve"> </w:t>
      </w:r>
    </w:p>
    <w:p w:rsidR="00612A1B" w:rsidRDefault="00FF0CCF">
      <w:pPr>
        <w:spacing w:after="0"/>
        <w:ind w:left="0" w:firstLine="0"/>
      </w:pPr>
      <w:r>
        <w:lastRenderedPageBreak/>
        <w:t xml:space="preserve"> </w:t>
      </w:r>
    </w:p>
    <w:tbl>
      <w:tblPr>
        <w:tblStyle w:val="TableGrid"/>
        <w:tblW w:w="9631" w:type="dxa"/>
        <w:tblInd w:w="5" w:type="dxa"/>
        <w:tblCellMar>
          <w:top w:w="32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2335"/>
        <w:gridCol w:w="376"/>
        <w:gridCol w:w="695"/>
        <w:gridCol w:w="725"/>
        <w:gridCol w:w="775"/>
        <w:gridCol w:w="778"/>
        <w:gridCol w:w="721"/>
        <w:gridCol w:w="779"/>
        <w:gridCol w:w="827"/>
        <w:gridCol w:w="827"/>
        <w:gridCol w:w="793"/>
      </w:tblGrid>
      <w:tr w:rsidR="00612A1B">
        <w:trPr>
          <w:trHeight w:val="254"/>
        </w:trPr>
        <w:tc>
          <w:tcPr>
            <w:tcW w:w="2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</w:pPr>
            <w:r>
              <w:rPr>
                <w:sz w:val="20"/>
              </w:rPr>
              <w:t xml:space="preserve">Point-beregningsmodel: </w:t>
            </w:r>
            <w:r>
              <w:rPr>
                <w:sz w:val="20"/>
                <w:vertAlign w:val="superscript"/>
              </w:rPr>
              <w:t>1)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7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tabs>
                <w:tab w:val="center" w:pos="1635"/>
              </w:tabs>
              <w:ind w:left="0" w:firstLine="0"/>
            </w:pPr>
            <w:r>
              <w:rPr>
                <w:sz w:val="20"/>
              </w:rPr>
              <w:t xml:space="preserve">Antal point: 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 </w:t>
            </w:r>
          </w:p>
        </w:tc>
      </w:tr>
      <w:tr w:rsidR="00612A1B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612A1B">
            <w:pPr>
              <w:ind w:left="0" w:firstLine="0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4" w:firstLine="0"/>
            </w:pPr>
            <w:r>
              <w:rPr>
                <w:b/>
              </w:rPr>
              <w:t>1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6" w:firstLine="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6" w:firstLine="0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7" w:firstLine="0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b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b/>
              </w:rP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6" w:firstLine="0"/>
              <w:jc w:val="center"/>
            </w:pPr>
            <w:r>
              <w:rPr>
                <w:b/>
              </w:rPr>
              <w:t xml:space="preserve">8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6" w:firstLine="0"/>
              <w:jc w:val="center"/>
            </w:pPr>
            <w:r>
              <w:rPr>
                <w:b/>
              </w:rPr>
              <w:t xml:space="preserve">9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tabs>
                <w:tab w:val="right" w:pos="606"/>
              </w:tabs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10 </w:t>
            </w:r>
          </w:p>
        </w:tc>
      </w:tr>
      <w:tr w:rsidR="00612A1B">
        <w:trPr>
          <w:trHeight w:val="499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</w:pPr>
            <w:r>
              <w:rPr>
                <w:sz w:val="20"/>
              </w:rPr>
              <w:t>Indbyggere: Efter antal indbyggere i sognet.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&lt;1.001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31" w:firstLine="0"/>
              <w:jc w:val="center"/>
            </w:pPr>
            <w:r>
              <w:rPr>
                <w:sz w:val="14"/>
              </w:rPr>
              <w:t>1001-</w:t>
            </w:r>
          </w:p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1.500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31" w:firstLine="0"/>
              <w:jc w:val="center"/>
            </w:pPr>
            <w:r>
              <w:rPr>
                <w:sz w:val="14"/>
              </w:rPr>
              <w:t xml:space="preserve">1.501- </w:t>
            </w:r>
          </w:p>
          <w:p w:rsidR="00612A1B" w:rsidRDefault="00FF0CCF">
            <w:pPr>
              <w:ind w:left="0" w:right="30" w:firstLine="0"/>
              <w:jc w:val="center"/>
            </w:pPr>
            <w:r>
              <w:rPr>
                <w:sz w:val="14"/>
              </w:rPr>
              <w:t xml:space="preserve">2.000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2.001- </w:t>
            </w:r>
          </w:p>
          <w:p w:rsidR="00612A1B" w:rsidRDefault="00FF0CCF">
            <w:pPr>
              <w:ind w:left="0" w:right="28" w:firstLine="0"/>
              <w:jc w:val="center"/>
            </w:pPr>
            <w:r>
              <w:rPr>
                <w:sz w:val="14"/>
              </w:rPr>
              <w:t xml:space="preserve">3.000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firstLine="0"/>
              <w:jc w:val="center"/>
            </w:pPr>
            <w:r>
              <w:rPr>
                <w:sz w:val="14"/>
              </w:rPr>
              <w:t xml:space="preserve">3001- 4000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31" w:firstLine="0"/>
              <w:jc w:val="center"/>
            </w:pPr>
            <w:r>
              <w:rPr>
                <w:sz w:val="14"/>
              </w:rPr>
              <w:t xml:space="preserve">4.001- </w:t>
            </w:r>
          </w:p>
          <w:p w:rsidR="00612A1B" w:rsidRDefault="00FF0CCF">
            <w:pPr>
              <w:ind w:left="0" w:right="30" w:firstLine="0"/>
              <w:jc w:val="center"/>
            </w:pPr>
            <w:r>
              <w:rPr>
                <w:sz w:val="14"/>
              </w:rPr>
              <w:t xml:space="preserve">5.000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8" w:firstLine="0"/>
              <w:jc w:val="center"/>
            </w:pPr>
            <w:r>
              <w:rPr>
                <w:sz w:val="14"/>
              </w:rPr>
              <w:t xml:space="preserve">5.001- </w:t>
            </w:r>
          </w:p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7.000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8" w:firstLine="0"/>
              <w:jc w:val="center"/>
            </w:pPr>
            <w:r>
              <w:rPr>
                <w:sz w:val="14"/>
              </w:rPr>
              <w:t xml:space="preserve">7.001- </w:t>
            </w:r>
          </w:p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10.000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&gt;10.000 </w:t>
            </w:r>
          </w:p>
        </w:tc>
      </w:tr>
      <w:tr w:rsidR="00612A1B">
        <w:trPr>
          <w:trHeight w:val="497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</w:pPr>
            <w:r>
              <w:rPr>
                <w:sz w:val="20"/>
              </w:rPr>
              <w:t>Lønudbetalinger: Efter antal fastansatte.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2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4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3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30" w:firstLine="0"/>
              <w:jc w:val="center"/>
            </w:pPr>
            <w:r>
              <w:rPr>
                <w:sz w:val="14"/>
              </w:rPr>
              <w:t xml:space="preserve">5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7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8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6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10 </w:t>
            </w:r>
          </w:p>
        </w:tc>
      </w:tr>
      <w:tr w:rsidR="00612A1B">
        <w:trPr>
          <w:trHeight w:val="742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</w:pPr>
            <w:r>
              <w:rPr>
                <w:sz w:val="20"/>
              </w:rPr>
              <w:t>Ligningsbeløb: efter størrelse på ligningsbeløb (angivet i tusinder).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firstLine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&lt;200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200-300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300-400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3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400-600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600-800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1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6" w:firstLine="0"/>
              <w:jc w:val="center"/>
            </w:pPr>
            <w:r>
              <w:rPr>
                <w:sz w:val="14"/>
              </w:rPr>
              <w:t xml:space="preserve">8001.200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firstLine="0"/>
              <w:jc w:val="center"/>
            </w:pPr>
            <w:r>
              <w:rPr>
                <w:sz w:val="14"/>
              </w:rPr>
              <w:t xml:space="preserve">1.2001.800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4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firstLine="0"/>
              <w:jc w:val="center"/>
            </w:pPr>
            <w:r>
              <w:rPr>
                <w:sz w:val="14"/>
              </w:rPr>
              <w:t xml:space="preserve">1.8002.800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6" w:firstLine="0"/>
              <w:jc w:val="center"/>
            </w:pPr>
            <w:r>
              <w:rPr>
                <w:sz w:val="14"/>
              </w:rPr>
              <w:t xml:space="preserve"> </w:t>
            </w:r>
          </w:p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&gt;2.800 </w:t>
            </w:r>
          </w:p>
        </w:tc>
      </w:tr>
      <w:tr w:rsidR="00612A1B">
        <w:trPr>
          <w:trHeight w:val="281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</w:pPr>
            <w:r>
              <w:rPr>
                <w:sz w:val="20"/>
              </w:rPr>
              <w:t>Bilag: Efter antal bilag</w:t>
            </w:r>
            <w:r>
              <w:t xml:space="preserve"> </w:t>
            </w:r>
            <w:r>
              <w:rPr>
                <w:vertAlign w:val="superscript"/>
              </w:rPr>
              <w:t>2)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  <w:jc w:val="center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32" w:firstLine="0"/>
              <w:jc w:val="center"/>
            </w:pPr>
            <w:r>
              <w:rPr>
                <w:sz w:val="14"/>
              </w:rPr>
              <w:t xml:space="preserve">&lt;101 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101-125 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126-150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9" w:firstLine="0"/>
              <w:jc w:val="center"/>
            </w:pPr>
            <w:r>
              <w:rPr>
                <w:sz w:val="14"/>
              </w:rPr>
              <w:t xml:space="preserve">151-175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176-200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201-225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right="27" w:firstLine="0"/>
              <w:jc w:val="center"/>
            </w:pPr>
            <w:r>
              <w:rPr>
                <w:sz w:val="14"/>
              </w:rPr>
              <w:t xml:space="preserve">226- 250 </w:t>
            </w:r>
          </w:p>
        </w:tc>
      </w:tr>
      <w:tr w:rsidR="00612A1B">
        <w:trPr>
          <w:trHeight w:val="595"/>
        </w:trPr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2" w:firstLine="0"/>
            </w:pPr>
            <w:r>
              <w:rPr>
                <w:sz w:val="20"/>
              </w:rPr>
              <w:t xml:space="preserve">Vikarer, kormedlemmer, honorarlønnede mv. </w:t>
            </w:r>
          </w:p>
        </w:tc>
        <w:tc>
          <w:tcPr>
            <w:tcW w:w="727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A1B" w:rsidRDefault="00FF0CCF">
            <w:pPr>
              <w:ind w:left="0" w:firstLine="0"/>
            </w:pPr>
            <w:r>
              <w:rPr>
                <w:sz w:val="16"/>
              </w:rPr>
              <w:t xml:space="preserve">Efter en konkret vurdering kan menighedsrådet tildele regnskabsfører eller kasserer et antal point mellem 1 og 5 til dækning af merarbejde som følge af ekstra arbejde i forbindelse med vikarer, kormedlemmer, honorarlønnede mv.  </w:t>
            </w:r>
          </w:p>
        </w:tc>
      </w:tr>
    </w:tbl>
    <w:p w:rsidR="00612A1B" w:rsidRDefault="00FF0CCF">
      <w:pPr>
        <w:numPr>
          <w:ilvl w:val="0"/>
          <w:numId w:val="1"/>
        </w:numPr>
        <w:spacing w:after="1"/>
        <w:ind w:hanging="187"/>
      </w:pPr>
      <w:r>
        <w:rPr>
          <w:sz w:val="18"/>
        </w:rPr>
        <w:t xml:space="preserve">Point-beregningsmodellen gælder for regnskabsførere ansat under 8 timer pr. uge. </w:t>
      </w:r>
    </w:p>
    <w:p w:rsidR="00612A1B" w:rsidRDefault="00FF0CCF">
      <w:pPr>
        <w:numPr>
          <w:ilvl w:val="0"/>
          <w:numId w:val="1"/>
        </w:numPr>
        <w:spacing w:after="1"/>
        <w:ind w:hanging="187"/>
      </w:pPr>
      <w:r>
        <w:rPr>
          <w:sz w:val="18"/>
        </w:rPr>
        <w:t xml:space="preserve">Et point pr. 25 bilag indtil 1000 bilag. Fra 1001 bilag og fremefter gives et point pr. 50 bilag. </w:t>
      </w:r>
    </w:p>
    <w:p w:rsidR="00612A1B" w:rsidRDefault="00FF0CCF">
      <w:pPr>
        <w:spacing w:after="34"/>
        <w:ind w:left="0" w:firstLine="0"/>
      </w:pPr>
      <w:r>
        <w:rPr>
          <w:sz w:val="18"/>
        </w:rPr>
        <w:t xml:space="preserve"> </w:t>
      </w:r>
    </w:p>
    <w:p w:rsidR="00612A1B" w:rsidRDefault="00FF0CCF">
      <w:pPr>
        <w:ind w:left="-5"/>
      </w:pPr>
      <w:r>
        <w:t>Efter pointberegningsmodellen ydes der point efter fire forskellige parametre (indbyggere, lønudbetalinger, ligningsbeløb og bilag). Hvert param</w:t>
      </w:r>
      <w:r w:rsidR="000455EB">
        <w:t>eter vurderes i henhold til ove</w:t>
      </w:r>
      <w:r>
        <w:t xml:space="preserve">nstående model, og antal point aflæses. Til den samlede vurdering af honorering/aflønning summeres pointene. </w:t>
      </w:r>
    </w:p>
    <w:p w:rsidR="00612A1B" w:rsidRDefault="00FF0CCF" w:rsidP="0060371A">
      <w:pPr>
        <w:ind w:left="-5"/>
      </w:pPr>
      <w:r>
        <w:t>Hvert point svarer til 4 timer årligt til en timeløn i nutidskroner 17</w:t>
      </w:r>
      <w:r w:rsidR="00392571">
        <w:t>5</w:t>
      </w:r>
      <w:r w:rsidR="000455EB">
        <w:t>,</w:t>
      </w:r>
      <w:r w:rsidR="00392571">
        <w:t>79</w:t>
      </w:r>
      <w:r w:rsidR="000455EB">
        <w:t xml:space="preserve"> kr. pr. 01.</w:t>
      </w:r>
      <w:r w:rsidR="00392571">
        <w:t>04</w:t>
      </w:r>
      <w:r>
        <w:t>.20</w:t>
      </w:r>
      <w:r w:rsidR="00392571">
        <w:t>20</w:t>
      </w:r>
      <w:r>
        <w:t>. Timesatsen er beregnet på baggrund af fikspunktet i løngruppe 2 for kordegne inkl. rådighedstillæg. Pointsatsen udgør således i nutidskr</w:t>
      </w:r>
      <w:r w:rsidR="000455EB">
        <w:t xml:space="preserve">oner </w:t>
      </w:r>
      <w:r w:rsidR="00392571">
        <w:t>703</w:t>
      </w:r>
      <w:r w:rsidR="000455EB">
        <w:t>,</w:t>
      </w:r>
      <w:r w:rsidR="001A6755">
        <w:t>1</w:t>
      </w:r>
      <w:r w:rsidR="00392571">
        <w:t>6</w:t>
      </w:r>
      <w:r>
        <w:t xml:space="preserve"> kr. pr. 01.</w:t>
      </w:r>
      <w:r w:rsidR="00392571">
        <w:t>04</w:t>
      </w:r>
      <w:r>
        <w:t>.20</w:t>
      </w:r>
      <w:r w:rsidR="00392571">
        <w:t>20</w:t>
      </w:r>
      <w:r>
        <w:t xml:space="preserve">. </w:t>
      </w:r>
    </w:p>
    <w:sectPr w:rsidR="00612A1B">
      <w:pgSz w:w="11906" w:h="16838"/>
      <w:pgMar w:top="1743" w:right="1131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03ADC"/>
    <w:multiLevelType w:val="hybridMultilevel"/>
    <w:tmpl w:val="78FAA134"/>
    <w:lvl w:ilvl="0" w:tplc="C492C376">
      <w:start w:val="1"/>
      <w:numFmt w:val="decimal"/>
      <w:lvlText w:val="%1)"/>
      <w:lvlJc w:val="left"/>
      <w:pPr>
        <w:ind w:left="1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343C5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50C98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AA19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90C8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91C9E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2CF10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D60F40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7E861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801330"/>
    <w:multiLevelType w:val="hybridMultilevel"/>
    <w:tmpl w:val="6F188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A1B"/>
    <w:rsid w:val="000455EB"/>
    <w:rsid w:val="001A6755"/>
    <w:rsid w:val="00392571"/>
    <w:rsid w:val="00446AD6"/>
    <w:rsid w:val="004C2EDA"/>
    <w:rsid w:val="0060371A"/>
    <w:rsid w:val="00612A1B"/>
    <w:rsid w:val="00C551B2"/>
    <w:rsid w:val="00FF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DD858-BEC3-4C9F-95A5-26497F9B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" w:hanging="10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8"/>
      <w:ind w:left="10" w:hanging="10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371A"/>
    <w:rPr>
      <w:rFonts w:ascii="Segoe UI" w:eastAsia="Calibri" w:hAnsi="Segoe UI" w:cs="Segoe UI"/>
      <w:color w:val="000000"/>
      <w:sz w:val="18"/>
      <w:szCs w:val="18"/>
    </w:rPr>
  </w:style>
  <w:style w:type="paragraph" w:styleId="Listeafsnit">
    <w:name w:val="List Paragraph"/>
    <w:basedOn w:val="Normal"/>
    <w:uiPriority w:val="34"/>
    <w:qFormat/>
    <w:rsid w:val="00045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Toft Povlsgaard</dc:creator>
  <cp:keywords/>
  <cp:lastModifiedBy>Annette Vinther Mikkelsen</cp:lastModifiedBy>
  <cp:revision>2</cp:revision>
  <cp:lastPrinted>2020-01-07T09:14:00Z</cp:lastPrinted>
  <dcterms:created xsi:type="dcterms:W3CDTF">2020-11-16T11:39:00Z</dcterms:created>
  <dcterms:modified xsi:type="dcterms:W3CDTF">2020-11-16T11:39:00Z</dcterms:modified>
</cp:coreProperties>
</file>